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1AD70">
      <w:pPr>
        <w:widowControl w:val="0"/>
        <w:wordWrap/>
        <w:spacing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明珠街、石铜路、槐中路雨水调蓄设施新建工程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项目自评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 w14:paraId="42B7D690">
      <w:pPr>
        <w:widowControl w:val="0"/>
        <w:wordWrap/>
        <w:spacing w:line="36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</w:p>
    <w:p w14:paraId="36C39AC4">
      <w:pPr>
        <w:widowControl w:val="0"/>
        <w:wordWrap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</w:t>
      </w:r>
      <w:r>
        <w:rPr>
          <w:rFonts w:hint="eastAsia" w:ascii="仿宋_GB2312" w:eastAsia="仿宋_GB2312"/>
          <w:sz w:val="32"/>
          <w:szCs w:val="32"/>
          <w:lang w:eastAsia="zh-CN"/>
        </w:rPr>
        <w:t>石家庄市财政支出绩效评价办法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石财绩[2013]2号）</w:t>
      </w:r>
      <w:r>
        <w:rPr>
          <w:rFonts w:hint="eastAsia" w:ascii="仿宋_GB2312" w:eastAsia="仿宋_GB2312"/>
          <w:sz w:val="32"/>
          <w:szCs w:val="32"/>
        </w:rPr>
        <w:t>，遵循“科学性、规范性、客观性和公正性”的原则，对明珠街、石铜路、槐中路雨水调蓄设施新建工程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实施了</w:t>
      </w:r>
      <w:r>
        <w:rPr>
          <w:rFonts w:hint="eastAsia" w:ascii="仿宋_GB2312" w:eastAsia="仿宋_GB2312"/>
          <w:sz w:val="32"/>
          <w:szCs w:val="32"/>
          <w:lang w:eastAsia="zh-CN"/>
        </w:rPr>
        <w:t>财政支出绩效自评价</w:t>
      </w:r>
      <w:r>
        <w:rPr>
          <w:rFonts w:hint="eastAsia" w:ascii="仿宋_GB2312" w:eastAsia="仿宋_GB2312"/>
          <w:sz w:val="32"/>
          <w:szCs w:val="32"/>
        </w:rPr>
        <w:t>，形成本评价报告。</w:t>
      </w:r>
    </w:p>
    <w:p w14:paraId="40AE4DD1">
      <w:pPr>
        <w:widowControl w:val="0"/>
        <w:wordWrap/>
        <w:adjustRightInd w:val="0"/>
        <w:snapToGrid w:val="0"/>
        <w:spacing w:line="360" w:lineRule="auto"/>
        <w:ind w:left="0" w:leftChars="0" w:right="0"/>
        <w:textAlignment w:val="auto"/>
        <w:outlineLvl w:val="9"/>
        <w:rPr>
          <w:rFonts w:hint="eastAsia" w:ascii="黑体" w:eastAsia="黑体"/>
          <w:b/>
          <w:bCs/>
          <w:sz w:val="32"/>
          <w:szCs w:val="36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 xml:space="preserve">    </w:t>
      </w:r>
      <w:r>
        <w:rPr>
          <w:rFonts w:hint="eastAsia" w:ascii="黑体" w:eastAsia="黑体"/>
          <w:b w:val="0"/>
          <w:bCs w:val="0"/>
          <w:sz w:val="32"/>
          <w:szCs w:val="32"/>
        </w:rPr>
        <w:t>一、</w:t>
      </w:r>
      <w:r>
        <w:rPr>
          <w:rFonts w:hint="eastAsia" w:ascii="黑体" w:eastAsia="黑体"/>
          <w:b w:val="0"/>
          <w:bCs w:val="0"/>
          <w:sz w:val="32"/>
          <w:szCs w:val="32"/>
          <w:lang w:eastAsia="zh-CN"/>
        </w:rPr>
        <w:t>项目</w:t>
      </w:r>
      <w:r>
        <w:rPr>
          <w:rFonts w:hint="eastAsia" w:ascii="黑体" w:eastAsia="黑体"/>
          <w:b w:val="0"/>
          <w:bCs w:val="0"/>
          <w:sz w:val="32"/>
          <w:szCs w:val="36"/>
        </w:rPr>
        <w:t>基本情况</w:t>
      </w:r>
    </w:p>
    <w:p w14:paraId="6D9744E0">
      <w:pPr>
        <w:widowControl w:val="0"/>
        <w:wordWrap/>
        <w:adjustRightInd w:val="0"/>
        <w:snapToGrid w:val="0"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 w14:paraId="1415A6FF">
      <w:pPr>
        <w:widowControl w:val="0"/>
        <w:wordWrap/>
        <w:adjustRightInd w:val="0"/>
        <w:snapToGrid w:val="0"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1、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项目实施单位及项目立项等基本情况</w:t>
      </w:r>
    </w:p>
    <w:p w14:paraId="61319A04">
      <w:pPr>
        <w:widowControl w:val="0"/>
        <w:wordWrap/>
        <w:adjustRightInd w:val="0"/>
        <w:snapToGrid w:val="0"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项目实施单位</w:t>
      </w:r>
    </w:p>
    <w:p w14:paraId="4C4CFB07">
      <w:pPr>
        <w:widowControl w:val="0"/>
        <w:wordWrap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单位名称：石家庄市城市管理综合行政执法局</w:t>
      </w:r>
    </w:p>
    <w:p w14:paraId="38771613">
      <w:pPr>
        <w:widowControl w:val="0"/>
        <w:wordWrap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石家庄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市城市管理综合行政执法局（以下简称“市城管综合行政执法局”），主要负责城市道路、桥梁、照明、排水等市政设施维护管理工作，负责民心河河道管理、城区防汛工作；负责城市供热燃气、供水节水污水处理行业管理工作；组织督导城市市容环境卫生、城市管理综合执法以及城区生活垃圾、建筑垃圾、餐厨垃圾、粪便垃圾无害化处理工作；负责指导各县（市、区）城镇（县城城建界以内）的城市管理相关工作。</w:t>
      </w:r>
    </w:p>
    <w:p w14:paraId="5C2511F9">
      <w:pPr>
        <w:widowControl w:val="0"/>
        <w:numPr>
          <w:ilvl w:val="0"/>
          <w:numId w:val="2"/>
        </w:numPr>
        <w:wordWrap/>
        <w:adjustRightInd w:val="0"/>
        <w:snapToGrid w:val="0"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项目背景</w:t>
      </w:r>
    </w:p>
    <w:p w14:paraId="6EBBB1CB">
      <w:pPr>
        <w:widowControl w:val="0"/>
        <w:wordWrap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按照《国务院办公厅关于加强城市内涝治理的实施意见》（国办发〔2021〕11号）的目标要求，以及市政府、市城管局的安排部署，为进一步推进我市排涝设施体系建设，增强抵御内涝风险能力，对市区强降雨过程中仍然存在的易积水路段进行认真梳理分析，本着“完善体系、因地制宜、突出重点”的原则，谋划了七大类工程，系统治理城市内涝。</w:t>
      </w:r>
    </w:p>
    <w:p w14:paraId="08E4B03A">
      <w:pPr>
        <w:widowControl w:val="0"/>
        <w:wordWrap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计划至2025年通过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源头减排、管网排放、蓄排并举、超标应急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”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的城市排水防涝工程体系建设，使石家庄市区排水防涝能力显著提升，有效应对城市内涝防治标准内的降雨，达到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雨停后能够及时排干积水，低洼地区防洪排涝能力大幅提升，严重影响生产生活秩序的易涝积水点全面消除，超标准降雨条件下少积水、退水快，基本保障城市安全运行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”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的目标。</w:t>
      </w:r>
    </w:p>
    <w:p w14:paraId="2309DC75">
      <w:pPr>
        <w:widowControl w:val="0"/>
        <w:wordWrap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通过对城区易积水点进行分析，共需建设3座雨水调蓄池。</w:t>
      </w:r>
    </w:p>
    <w:p w14:paraId="0A490601">
      <w:pPr>
        <w:widowControl w:val="0"/>
        <w:numPr>
          <w:ilvl w:val="0"/>
          <w:numId w:val="2"/>
        </w:numPr>
        <w:wordWrap/>
        <w:adjustRightInd w:val="0"/>
        <w:snapToGrid w:val="0"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项目立项情况</w:t>
      </w:r>
    </w:p>
    <w:p w14:paraId="731B0D25">
      <w:pPr>
        <w:widowControl w:val="0"/>
        <w:wordWrap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2023年10月28日，项目取得《石家庄市行政审批局关于明珠街、石铜路、槐中路雨水调蓄设施新建工程可行性研究报告的批复》（石行审投资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193号）。</w:t>
      </w:r>
    </w:p>
    <w:p w14:paraId="641340B9">
      <w:pPr>
        <w:widowControl w:val="0"/>
        <w:wordWrap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2024年4月3日，项目取得《石家庄市行政审批局关于明珠街、石铜路、槐中路雨水调蓄设施新建工程初步设计的批复》（石行审投资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85号）。</w:t>
      </w:r>
    </w:p>
    <w:p w14:paraId="02F1B53E">
      <w:pPr>
        <w:widowControl w:val="0"/>
        <w:wordWrap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2024年5月16日前完成施工、监理招标；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2024年5月21日，取得《建筑工程施工许可证》，编号：130101202405210202；开工日期为2024年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5月23日，2024年12月30日完工。</w:t>
      </w:r>
    </w:p>
    <w:p w14:paraId="5D28BCD7">
      <w:pPr>
        <w:widowControl w:val="0"/>
        <w:numPr>
          <w:ilvl w:val="0"/>
          <w:numId w:val="3"/>
        </w:numPr>
        <w:wordWrap/>
        <w:adjustRightInd w:val="0"/>
        <w:snapToGrid w:val="0"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项目主要实施内容和范围</w:t>
      </w:r>
    </w:p>
    <w:p w14:paraId="61638F6C">
      <w:pPr>
        <w:widowControl w:val="0"/>
        <w:numPr>
          <w:ilvl w:val="0"/>
          <w:numId w:val="0"/>
        </w:numPr>
        <w:wordWrap/>
        <w:adjustRightInd w:val="0"/>
        <w:snapToGrid w:val="0"/>
        <w:spacing w:line="360" w:lineRule="auto"/>
        <w:ind w:left="420" w:leftChars="200" w:right="0" w:rightChars="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黑体"/>
          <w:b/>
          <w:bCs/>
          <w:kern w:val="2"/>
          <w:sz w:val="32"/>
          <w:szCs w:val="32"/>
          <w:lang w:val="en-US" w:eastAsia="zh-CN" w:bidi="ar-SA"/>
        </w:rPr>
        <w:t>（1）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项目主要建设内容</w:t>
      </w:r>
    </w:p>
    <w:p w14:paraId="1C081CB9">
      <w:pPr>
        <w:widowControl w:val="0"/>
        <w:wordWrap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对城区易积水点进行分析，共需建设3座雨水调蓄池。调蓄池基本位于公园或绿地内，为全地下钢筋混凝土结构。明珠街雨水调蓄设施于明珠公园建设1座调蓄池，用于缓解明珠街和北二环路交叉口积水问题。新建调蓄池尺寸为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B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H=100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40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5m，总调蓄容积2万立方米，配套冲洗、除臭闸门、监控等附属设施。石铜路与南二环交口调蓄设施于石铜路与南二环交口附近建设1座调蓄池，用于缓解南二环路与石铜路交口积水问题。新建调蓄池尺寸为L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B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H=50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40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5m，总调蓄容积1万立方米，配套冲洗、除臭、闸门、监控等附属设施。中路东二环调蓄设施于槐中路与东二环交口附近建设1座调蓄池用于缓解槐中路与东二环交口积水问题。新建调蓄池尺寸为L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B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H=100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5m，总调蓄容积1.2万立方米，配套冲洗、除臭闸门、监控等附属设施。</w:t>
      </w:r>
    </w:p>
    <w:p w14:paraId="52E3450E">
      <w:pPr>
        <w:widowControl w:val="0"/>
        <w:numPr>
          <w:ilvl w:val="0"/>
          <w:numId w:val="0"/>
        </w:numPr>
        <w:wordWrap/>
        <w:adjustRightInd w:val="0"/>
        <w:snapToGrid w:val="0"/>
        <w:spacing w:line="360" w:lineRule="auto"/>
        <w:ind w:left="420" w:leftChars="200" w:right="0" w:rightChars="0"/>
        <w:textAlignment w:val="auto"/>
        <w:outlineLvl w:val="9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hAnsi="Calibri" w:eastAsia="仿宋_GB2312" w:cs="黑体"/>
          <w:b/>
          <w:bCs/>
          <w:kern w:val="2"/>
          <w:sz w:val="32"/>
          <w:szCs w:val="32"/>
          <w:lang w:val="en-US" w:eastAsia="zh-CN" w:bidi="ar-SA"/>
        </w:rPr>
        <w:t>（2）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项目实施范围</w:t>
      </w:r>
    </w:p>
    <w:p w14:paraId="355F8E02">
      <w:pPr>
        <w:widowControl w:val="0"/>
        <w:wordWrap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明珠街雨水调蓄设施：位于明珠公园西门附近。</w:t>
      </w:r>
    </w:p>
    <w:p w14:paraId="46145E29">
      <w:pPr>
        <w:widowControl w:val="0"/>
        <w:wordWrap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石铜路与南二环交口调蓄设施：位于石铜路与南二环交口西南侧约120m处。</w:t>
      </w:r>
    </w:p>
    <w:p w14:paraId="6B6DAE74">
      <w:pPr>
        <w:widowControl w:val="0"/>
        <w:wordWrap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槐中路东二环调蓄设施：位于槐中路与东二环交口北侧约100m处。</w:t>
      </w:r>
    </w:p>
    <w:p w14:paraId="1B290E9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项目资金投入情况</w:t>
      </w:r>
    </w:p>
    <w:p w14:paraId="00F81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（1）总投入资金及结构</w:t>
      </w:r>
    </w:p>
    <w:p w14:paraId="687C1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明珠街、石铜路、槐中路雨水调蓄设施新建工程总投资为13054.00万元，其中，国债中央补助资金10443万元，国债省级补助资金522.15万元（第一批次261.07万元，第二批次261.08万元），市级配套资金2088.85万元。</w:t>
      </w:r>
    </w:p>
    <w:p w14:paraId="2B3B8E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项目预算支出7411.09万元，预算执行进度为56.77%。其中：国债资金支出7409.56万元，市级配套资金支出1.53万元。</w:t>
      </w:r>
    </w:p>
    <w:p w14:paraId="4F6BAC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3" w:firstLineChars="200"/>
        <w:jc w:val="center"/>
        <w:textAlignment w:val="auto"/>
        <w:rPr>
          <w:rFonts w:hint="eastAsia" w:ascii="仿宋_GB2312" w:hAnsi="仿宋_GB2312" w:eastAsia="仿宋_GB2312" w:cstheme="minorBidi"/>
          <w:b/>
          <w:color w:val="auto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theme="minorBidi"/>
          <w:b/>
          <w:color w:val="auto"/>
          <w:kern w:val="2"/>
          <w:sz w:val="32"/>
          <w:szCs w:val="24"/>
          <w:lang w:val="en-US" w:eastAsia="zh-CN" w:bidi="ar-SA"/>
        </w:rPr>
        <w:t>项目资金投入情况表</w:t>
      </w:r>
    </w:p>
    <w:tbl>
      <w:tblPr>
        <w:tblStyle w:val="12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2073"/>
        <w:gridCol w:w="1459"/>
        <w:gridCol w:w="2071"/>
        <w:gridCol w:w="2071"/>
      </w:tblGrid>
      <w:tr w14:paraId="0637A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9134F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序号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8AC27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项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6B99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</w:t>
            </w:r>
            <w:r>
              <w:rPr>
                <w:rFonts w:hint="default"/>
                <w:lang w:val="en-US" w:eastAsia="zh-CN"/>
              </w:rPr>
              <w:t>预算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A1510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预算支出情况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F0381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支出比例</w:t>
            </w:r>
          </w:p>
        </w:tc>
      </w:tr>
      <w:tr w14:paraId="59A4C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6C4C5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E287A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资金情况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CDF37">
            <w:pPr>
              <w:pStyle w:val="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13054.00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3CB70">
            <w:pPr>
              <w:pStyle w:val="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7411.09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76398">
            <w:pPr>
              <w:pStyle w:val="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56.77%</w:t>
            </w:r>
          </w:p>
        </w:tc>
      </w:tr>
      <w:tr w14:paraId="0B2C2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A651B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1.1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F736E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国债</w:t>
            </w:r>
            <w:r>
              <w:rPr>
                <w:rFonts w:hint="default"/>
                <w:lang w:val="en-US" w:eastAsia="zh-CN"/>
              </w:rPr>
              <w:t>中央</w:t>
            </w:r>
            <w:r>
              <w:rPr>
                <w:rFonts w:hint="eastAsia"/>
                <w:lang w:val="en-US" w:eastAsia="zh-CN"/>
              </w:rPr>
              <w:t>补助</w:t>
            </w:r>
            <w:r>
              <w:rPr>
                <w:rFonts w:hint="default"/>
                <w:lang w:val="en-US" w:eastAsia="zh-CN"/>
              </w:rPr>
              <w:t>资金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471FF">
            <w:pPr>
              <w:pStyle w:val="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10443.00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E740F">
            <w:pPr>
              <w:pStyle w:val="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7409.56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57BEE">
            <w:pPr>
              <w:pStyle w:val="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70.95%</w:t>
            </w:r>
          </w:p>
        </w:tc>
      </w:tr>
      <w:tr w14:paraId="1125D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EF545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1.2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28093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省级</w:t>
            </w:r>
            <w:r>
              <w:rPr>
                <w:rFonts w:hint="eastAsia"/>
                <w:lang w:val="en-US" w:eastAsia="zh-CN"/>
              </w:rPr>
              <w:t>补助</w:t>
            </w:r>
            <w:r>
              <w:rPr>
                <w:rFonts w:hint="default"/>
                <w:lang w:val="en-US" w:eastAsia="zh-CN"/>
              </w:rPr>
              <w:t>资金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37A3B">
            <w:pPr>
              <w:pStyle w:val="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522.15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6E88">
            <w:pPr>
              <w:pStyle w:val="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CFC8D">
            <w:pPr>
              <w:pStyle w:val="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0.00%</w:t>
            </w:r>
          </w:p>
        </w:tc>
      </w:tr>
      <w:tr w14:paraId="45791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422E3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1.3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1CAB0"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市级</w:t>
            </w:r>
            <w:r>
              <w:rPr>
                <w:rFonts w:hint="eastAsia"/>
                <w:lang w:val="en-US" w:eastAsia="zh-CN"/>
              </w:rPr>
              <w:t>配套</w:t>
            </w:r>
            <w:r>
              <w:rPr>
                <w:rFonts w:hint="default"/>
                <w:lang w:val="en-US" w:eastAsia="zh-CN"/>
              </w:rPr>
              <w:t>资金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5DFCF">
            <w:pPr>
              <w:pStyle w:val="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2088.85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3C225">
            <w:pPr>
              <w:pStyle w:val="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1.53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E900F">
            <w:pPr>
              <w:pStyle w:val="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0.07%</w:t>
            </w:r>
          </w:p>
        </w:tc>
      </w:tr>
    </w:tbl>
    <w:p w14:paraId="431B7C94">
      <w:pPr>
        <w:keepNext w:val="0"/>
        <w:keepLines w:val="0"/>
        <w:pageBreakBefore w:val="0"/>
        <w:widowControl w:val="0"/>
        <w:numPr>
          <w:ilvl w:val="0"/>
          <w:numId w:val="4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0" w:leftChars="200" w:right="0" w:rightChars="0" w:firstLine="0" w:firstLineChars="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项目资金支出情况</w:t>
      </w:r>
    </w:p>
    <w:p w14:paraId="52BA3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"/>
          <w:sz w:val="24"/>
          <w:szCs w:val="24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本项目预算为13054.00万元，支出为7411.09万元，主要用于工程费用、工程建设其他费用、前期费用及印花税。</w:t>
      </w:r>
    </w:p>
    <w:p w14:paraId="577D728B">
      <w:pPr>
        <w:widowControl w:val="0"/>
        <w:wordWrap/>
        <w:adjustRightInd w:val="0"/>
        <w:snapToGrid w:val="0"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预期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绩效目标</w:t>
      </w:r>
    </w:p>
    <w:p w14:paraId="78C6F5A7">
      <w:pPr>
        <w:widowControl w:val="0"/>
        <w:wordWrap/>
        <w:adjustRightInd w:val="0"/>
        <w:snapToGrid w:val="0"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b/>
          <w:bCs/>
          <w:sz w:val="32"/>
          <w:szCs w:val="32"/>
        </w:rPr>
        <w:t>项目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预期</w:t>
      </w:r>
      <w:r>
        <w:rPr>
          <w:rFonts w:hint="eastAsia" w:ascii="仿宋_GB2312" w:eastAsia="仿宋_GB2312"/>
          <w:b/>
          <w:bCs/>
          <w:sz w:val="32"/>
          <w:szCs w:val="32"/>
        </w:rPr>
        <w:t>绩效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总</w:t>
      </w:r>
      <w:r>
        <w:rPr>
          <w:rFonts w:hint="eastAsia" w:ascii="仿宋_GB2312" w:eastAsia="仿宋_GB2312"/>
          <w:b/>
          <w:bCs/>
          <w:sz w:val="32"/>
          <w:szCs w:val="32"/>
        </w:rPr>
        <w:t>目标</w:t>
      </w:r>
    </w:p>
    <w:p w14:paraId="53838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通过新建明珠街、石铜路、槐中路3座雨水调蓄池设施，提升石家庄市区排水防涝能力。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ab/>
      </w:r>
      <w:r>
        <w:rPr>
          <w:rFonts w:hint="eastAsia" w:ascii="仿宋_GB2312" w:eastAsia="仿宋_GB2312"/>
          <w:sz w:val="32"/>
          <w:szCs w:val="32"/>
          <w:lang w:val="en-US" w:eastAsia="zh-CN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56FF129E">
      <w:pPr>
        <w:bidi w:val="0"/>
        <w:rPr>
          <w:rFonts w:hint="eastAsia"/>
          <w:lang w:eastAsia="zh-CN"/>
        </w:rPr>
      </w:pPr>
    </w:p>
    <w:p w14:paraId="42033502">
      <w:pPr>
        <w:widowControl w:val="0"/>
        <w:numPr>
          <w:ilvl w:val="0"/>
          <w:numId w:val="5"/>
        </w:numPr>
        <w:wordWrap/>
        <w:adjustRightInd w:val="0"/>
        <w:snapToGrid w:val="0"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阶段性（当年）的绩效目标和指标</w:t>
      </w:r>
    </w:p>
    <w:p w14:paraId="5B33C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项目年度绩效目标：通过新建明珠街、石铜路、槐中路雨水调蓄池设施，提升石家庄市区排水防涝能力。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ab/>
      </w:r>
    </w:p>
    <w:p w14:paraId="1FEA4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1）项目产出目标</w:t>
      </w:r>
    </w:p>
    <w:p w14:paraId="094A9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①数量指标：</w:t>
      </w:r>
    </w:p>
    <w:p w14:paraId="6F80A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“新建雨水调蓄池”指标，反映新建雨水调蓄池调蓄面积情况，预期指标值为=4.20万立方米。</w:t>
      </w:r>
    </w:p>
    <w:p w14:paraId="0F378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②质量指标</w:t>
      </w:r>
    </w:p>
    <w:p w14:paraId="0EF10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“交（竣）工验收合格率”指标，反映项目交（竣）工验收合格情况，预期指标值=100%；“项目设计变更率”指标，反映项目设计变更情况，预期指标值≤10%。</w:t>
      </w:r>
    </w:p>
    <w:p w14:paraId="2203B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③时效指标</w:t>
      </w:r>
    </w:p>
    <w:p w14:paraId="3410C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“工程按时开工率”指标，反映项目按时开工个数占项目总个数百分比，预期指标值=100%；“工程完成时间”指标，反映新建雨水泵站项目完成时间，预计2024年12月31日完成。</w:t>
      </w:r>
    </w:p>
    <w:p w14:paraId="00284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④成本指标</w:t>
      </w:r>
    </w:p>
    <w:p w14:paraId="18E2A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“工程建设成本控制情况”指标，反映项目单位成本控制情况预期指标值为≤3108万元/立方米。</w:t>
      </w:r>
    </w:p>
    <w:p w14:paraId="59110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2）项目效益目标</w:t>
      </w:r>
    </w:p>
    <w:p w14:paraId="72A61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①社会效益指标</w:t>
      </w:r>
    </w:p>
    <w:p w14:paraId="53DD7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排涝能力提升率，反映新建后排涝能力较之前提升百分比，预期指标值为≥90%。</w:t>
      </w:r>
    </w:p>
    <w:p w14:paraId="4599B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②可持续影响</w:t>
      </w:r>
    </w:p>
    <w:p w14:paraId="61F5F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可持续使用时间，反映工程建成后正常使用年限≥50年。</w:t>
      </w:r>
    </w:p>
    <w:p w14:paraId="2D4B59DB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满意度目标</w:t>
      </w:r>
    </w:p>
    <w:p w14:paraId="33547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服务对象满意度指标，反映通过走访群众调查满意程度预期指标值≥90%。</w:t>
      </w:r>
    </w:p>
    <w:p w14:paraId="5F74E3C7">
      <w:pPr>
        <w:widowControl w:val="0"/>
        <w:wordWrap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二、自评工作情况</w:t>
      </w:r>
    </w:p>
    <w:p w14:paraId="03091D80">
      <w:pPr>
        <w:widowControl w:val="0"/>
        <w:wordWrap/>
        <w:spacing w:line="360" w:lineRule="auto"/>
        <w:ind w:left="0" w:leftChars="0" w:right="0" w:firstLine="64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（一）自评的组织工作</w:t>
      </w:r>
    </w:p>
    <w:p w14:paraId="12D2DEAF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依据绩效考核实施办法，由本单位自行组织实施。遵循公平、公正、公开的原则，成立了项目绩效评价专项考核小组，</w:t>
      </w:r>
      <w:r>
        <w:rPr>
          <w:rFonts w:hint="eastAsia" w:ascii="仿宋" w:hAnsi="仿宋" w:eastAsia="仿宋" w:cs="仿宋"/>
          <w:sz w:val="32"/>
          <w:szCs w:val="32"/>
        </w:rPr>
        <w:t>事先制定绩效评价方案，根据预算绩效指标，通过收集整理政策文件、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项目前期手续、预算执行情况</w:t>
      </w:r>
      <w:r>
        <w:rPr>
          <w:rFonts w:hint="eastAsia" w:ascii="仿宋" w:hAnsi="仿宋" w:eastAsia="仿宋" w:cs="仿宋"/>
          <w:sz w:val="32"/>
          <w:szCs w:val="32"/>
        </w:rPr>
        <w:t>等相关资料，制定具体评价方案，对评价人员进行分组，工作落实到个人，对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明珠街、石铜路、槐中路雨水调蓄设施新建工程</w:t>
      </w:r>
      <w:r>
        <w:rPr>
          <w:rFonts w:hint="eastAsia" w:ascii="仿宋" w:hAnsi="仿宋" w:eastAsia="仿宋" w:cs="仿宋"/>
          <w:sz w:val="32"/>
          <w:szCs w:val="32"/>
        </w:rPr>
        <w:t>项目的情况进行审核，重点关注项目组织实施情况、资金管理使用情况、项目产生效益情况、受益对象满意度等环节。</w:t>
      </w:r>
    </w:p>
    <w:p w14:paraId="6F2B355A">
      <w:pPr>
        <w:widowControl w:val="0"/>
        <w:numPr>
          <w:ilvl w:val="0"/>
          <w:numId w:val="0"/>
        </w:numPr>
        <w:wordWrap/>
        <w:spacing w:line="360" w:lineRule="auto"/>
        <w:ind w:left="640" w:leftChars="0" w:right="0" w:rightChars="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1、项目评价资料收集</w:t>
      </w:r>
    </w:p>
    <w:p w14:paraId="32C1EF4F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项目绩效自评的资料收集涵盖了项目的各个阶段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，具体资料包括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:项目立项审批文件、可行性研究报告、招投标文件、施工合同、竣工验收报告、资金预算文件、支付凭证、绩效目标申报表、监理日志、质量检测报告、变更签证记录、安全台账等。</w:t>
      </w:r>
    </w:p>
    <w:p w14:paraId="1619CE2C">
      <w:pPr>
        <w:widowControl w:val="0"/>
        <w:numPr>
          <w:ilvl w:val="0"/>
          <w:numId w:val="0"/>
        </w:numPr>
        <w:wordWrap/>
        <w:spacing w:line="360" w:lineRule="auto"/>
        <w:ind w:left="640" w:leftChars="0" w:right="0" w:rightChars="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2、评价过程</w:t>
      </w:r>
    </w:p>
    <w:p w14:paraId="2B56C3B4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通过对照绩效目标表，梳理项目实际完成投资额、工程量、工期等核心数据，采用成本效益分析法，计算资金到位率、预算执行偏差率等指标。</w:t>
      </w:r>
    </w:p>
    <w:p w14:paraId="058C05D4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撰写自评报告初稿，针对自评发现问题提出改进措施，并提交工作组审议。</w:t>
      </w:r>
    </w:p>
    <w:p w14:paraId="06710FA8">
      <w:pPr>
        <w:widowControl w:val="0"/>
        <w:numPr>
          <w:ilvl w:val="0"/>
          <w:numId w:val="5"/>
        </w:numPr>
        <w:wordWrap/>
        <w:spacing w:line="360" w:lineRule="auto"/>
        <w:ind w:left="0" w:leftChars="0" w:right="0" w:rightChars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评价工作管理组织</w:t>
      </w:r>
    </w:p>
    <w:p w14:paraId="4D49D096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成立专项评价工作组成员构成：由业务科室牵头，联合财务部门、其他相关科室等组成评价工作组。</w:t>
      </w:r>
    </w:p>
    <w:p w14:paraId="05E47695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组长：负责统筹协调自评工作。</w:t>
      </w:r>
    </w:p>
    <w:p w14:paraId="42010850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副组长：协助组长，分管数据核查与质量控制。</w:t>
      </w:r>
    </w:p>
    <w:p w14:paraId="4A9B3A05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组员：按职责分工负责资料收集、数据分析、实地调研等。</w:t>
      </w:r>
    </w:p>
    <w:tbl>
      <w:tblPr>
        <w:tblStyle w:val="13"/>
        <w:tblW w:w="7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0"/>
        <w:gridCol w:w="3790"/>
      </w:tblGrid>
      <w:tr w14:paraId="75A5D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3790" w:type="dxa"/>
            <w:vAlign w:val="center"/>
          </w:tcPr>
          <w:p w14:paraId="4B5CC0AC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工作组成员姓名</w:t>
            </w:r>
          </w:p>
        </w:tc>
        <w:tc>
          <w:tcPr>
            <w:tcW w:w="3790" w:type="dxa"/>
            <w:vAlign w:val="center"/>
          </w:tcPr>
          <w:p w14:paraId="097D240C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职责</w:t>
            </w:r>
          </w:p>
        </w:tc>
      </w:tr>
      <w:tr w14:paraId="78AC5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3790" w:type="dxa"/>
            <w:vAlign w:val="center"/>
          </w:tcPr>
          <w:p w14:paraId="7522294F">
            <w:pPr>
              <w:pStyle w:val="16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李永青</w:t>
            </w:r>
          </w:p>
        </w:tc>
        <w:tc>
          <w:tcPr>
            <w:tcW w:w="3790" w:type="dxa"/>
            <w:vAlign w:val="center"/>
          </w:tcPr>
          <w:p w14:paraId="66C2ACD4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评价组组长</w:t>
            </w:r>
          </w:p>
        </w:tc>
      </w:tr>
      <w:tr w14:paraId="0DF78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3790" w:type="dxa"/>
            <w:vAlign w:val="center"/>
          </w:tcPr>
          <w:p w14:paraId="5DE17F96">
            <w:pPr>
              <w:pStyle w:val="16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亓鹏</w:t>
            </w:r>
          </w:p>
        </w:tc>
        <w:tc>
          <w:tcPr>
            <w:tcW w:w="3790" w:type="dxa"/>
            <w:vAlign w:val="center"/>
          </w:tcPr>
          <w:p w14:paraId="218F4139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评价组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副组长</w:t>
            </w:r>
          </w:p>
        </w:tc>
      </w:tr>
      <w:tr w14:paraId="62DBC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3790" w:type="dxa"/>
            <w:vAlign w:val="center"/>
          </w:tcPr>
          <w:p w14:paraId="3CAD267D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王辉</w:t>
            </w:r>
          </w:p>
        </w:tc>
        <w:tc>
          <w:tcPr>
            <w:tcW w:w="3790" w:type="dxa"/>
            <w:vAlign w:val="center"/>
          </w:tcPr>
          <w:p w14:paraId="17F0C180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评价组成员</w:t>
            </w:r>
          </w:p>
        </w:tc>
      </w:tr>
      <w:tr w14:paraId="27BC8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3790" w:type="dxa"/>
            <w:vAlign w:val="center"/>
          </w:tcPr>
          <w:p w14:paraId="2CC46DCB">
            <w:pPr>
              <w:pStyle w:val="16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白雪锋</w:t>
            </w:r>
          </w:p>
        </w:tc>
        <w:tc>
          <w:tcPr>
            <w:tcW w:w="3790" w:type="dxa"/>
            <w:vAlign w:val="center"/>
          </w:tcPr>
          <w:p w14:paraId="45869E17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评价组成员</w:t>
            </w:r>
          </w:p>
        </w:tc>
      </w:tr>
    </w:tbl>
    <w:p w14:paraId="4F96E807">
      <w:pPr>
        <w:widowControl w:val="0"/>
        <w:numPr>
          <w:ilvl w:val="0"/>
          <w:numId w:val="7"/>
        </w:numPr>
        <w:wordWrap/>
        <w:spacing w:line="360" w:lineRule="auto"/>
        <w:ind w:left="642" w:leftChars="0" w:right="0" w:firstLine="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自评的方法和过程</w:t>
      </w:r>
    </w:p>
    <w:p w14:paraId="56BF873A">
      <w:pPr>
        <w:widowControl w:val="0"/>
        <w:wordWrap/>
        <w:spacing w:line="360" w:lineRule="auto"/>
        <w:ind w:left="0" w:leftChars="0" w:right="0" w:firstLine="643" w:firstLineChars="200"/>
        <w:jc w:val="both"/>
        <w:textAlignment w:val="auto"/>
        <w:outlineLvl w:val="9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1、自评的方法</w:t>
      </w:r>
    </w:p>
    <w:p w14:paraId="22043350">
      <w:pPr>
        <w:widowControl w:val="0"/>
        <w:wordWrap/>
        <w:spacing w:line="36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依据《中华人民共和国预算法》、《项目支出绩效评价管理办法》（财预〔2020〕10号）、《增发2023年国债资金管理办法》；《河北省省级财政支出绩效评价管理办法》（冀财监〔2016〕15号）、《石家庄市财政支出绩效评价办法》（石财绩〔2013〕2号）、《石家庄市财政局关于做好增发国债项目资金绩效自评工作的通知》等要求，本次绩效自评秉承科学规范、公正公开、分级分类、绩效相关等原则，按照从投入、过程到产出效果和影响的绩效逻辑路径，结合明珠街、石铜路、槐中路雨水调蓄设施新建工程实际开展情况，运用定量和定性分析相结合的方法，总结经验做法，反思项目实施和管理中的问题，以切实提升财政资金管理的科学化、规范化和精细化水平。</w:t>
      </w:r>
    </w:p>
    <w:p w14:paraId="4F26F54C">
      <w:pPr>
        <w:widowControl w:val="0"/>
        <w:wordWrap/>
        <w:spacing w:line="360" w:lineRule="auto"/>
        <w:ind w:left="0" w:leftChars="0" w:right="0" w:firstLine="643" w:firstLineChars="200"/>
        <w:jc w:val="both"/>
        <w:textAlignment w:val="auto"/>
        <w:outlineLvl w:val="9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2、自评的过程</w:t>
      </w:r>
    </w:p>
    <w:p w14:paraId="050F3C7D">
      <w:pPr>
        <w:widowControl w:val="0"/>
        <w:wordWrap/>
        <w:spacing w:line="36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（1）评价小组对指标体系的确定，分值及权值的确定。</w:t>
      </w:r>
    </w:p>
    <w:p w14:paraId="55087262">
      <w:pPr>
        <w:widowControl w:val="0"/>
        <w:wordWrap/>
        <w:spacing w:line="36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（2）由评价小组收集并审核基础数据资料。</w:t>
      </w:r>
    </w:p>
    <w:p w14:paraId="034586D5">
      <w:pPr>
        <w:widowControl w:val="0"/>
        <w:wordWrap/>
        <w:spacing w:line="36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（3）业务科室上报自评报告，并提供相关资料。</w:t>
      </w:r>
    </w:p>
    <w:p w14:paraId="29887FC6">
      <w:pPr>
        <w:widowControl w:val="0"/>
        <w:wordWrap/>
        <w:spacing w:line="36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（4）按方案分工由评价小组撰写评价报告；总结绩效评价经验，完善绩效评价指标和评价方案；提出下年度专项资金的部门预算安排意见。</w:t>
      </w:r>
    </w:p>
    <w:p w14:paraId="2EC2C478">
      <w:pPr>
        <w:widowControl w:val="0"/>
        <w:numPr>
          <w:ilvl w:val="0"/>
          <w:numId w:val="0"/>
        </w:numPr>
        <w:wordWrap/>
        <w:spacing w:line="360" w:lineRule="auto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 xml:space="preserve">    （三）建立绩效评价指标体系</w:t>
      </w:r>
    </w:p>
    <w:p w14:paraId="5DF52C09">
      <w:pPr>
        <w:widowControl w:val="0"/>
        <w:wordWrap/>
        <w:spacing w:line="36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本绩效指标评价总分设定为100分。根据相关规范文件，参考历史数据，设置项目指标，具体指标如下：</w:t>
      </w:r>
    </w:p>
    <w:p w14:paraId="3538E906">
      <w:pPr>
        <w:widowControl w:val="0"/>
        <w:wordWrap/>
        <w:spacing w:line="36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一级指标共设4个，包括产出指标、效益指标、满意度指标、预算执行率指标。</w:t>
      </w:r>
    </w:p>
    <w:p w14:paraId="4F49DC6C">
      <w:pPr>
        <w:widowControl w:val="0"/>
        <w:wordWrap/>
        <w:spacing w:line="36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二级指标共设8个，包括数量指标、质量指标、时效指标、成本指标、社会效益指标、可持续影响指标、服务对象满意度指标、预算执行率。</w:t>
      </w:r>
    </w:p>
    <w:p w14:paraId="4B20FA23">
      <w:pPr>
        <w:widowControl w:val="0"/>
        <w:wordWrap/>
        <w:spacing w:line="36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三级指标共设10个，分别按照指标的重要程度、项目实施阶段等因素综合确定，包含定量指标、定性指标以及满意度指标，能准确反映预算项目的产出和效果。</w:t>
      </w:r>
    </w:p>
    <w:p w14:paraId="7A38147D">
      <w:pPr>
        <w:widowControl w:val="0"/>
        <w:wordWrap/>
        <w:spacing w:line="360" w:lineRule="auto"/>
        <w:ind w:right="0"/>
        <w:jc w:val="both"/>
        <w:textAlignment w:val="auto"/>
        <w:outlineLvl w:val="9"/>
        <w:rPr>
          <w:rFonts w:hint="eastAsia" w:ascii="仿宋_GB2312" w:eastAsia="仿宋_GB2312"/>
          <w:b w:val="0"/>
          <w:bCs w:val="0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tbl>
      <w:tblPr>
        <w:tblStyle w:val="1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370"/>
        <w:gridCol w:w="1299"/>
        <w:gridCol w:w="3741"/>
        <w:gridCol w:w="6818"/>
        <w:tblGridChange w:id="0">
          <w:tblGrid>
            <w:gridCol w:w="946"/>
            <w:gridCol w:w="1370"/>
            <w:gridCol w:w="1299"/>
            <w:gridCol w:w="3741"/>
            <w:gridCol w:w="6818"/>
          </w:tblGrid>
        </w:tblGridChange>
      </w:tblGrid>
      <w:tr w14:paraId="7A566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4" w:type="pct"/>
            <w:shd w:val="clear" w:color="auto" w:fill="auto"/>
            <w:vAlign w:val="center"/>
          </w:tcPr>
          <w:p w14:paraId="29CF6DB5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一级指标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0EF113D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二级指标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96791F5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三级指标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5FA5EA9B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指标解释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483190FF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指标说明</w:t>
            </w:r>
          </w:p>
        </w:tc>
      </w:tr>
      <w:tr w14:paraId="56362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restart"/>
            <w:shd w:val="clear" w:color="auto" w:fill="auto"/>
            <w:vAlign w:val="center"/>
          </w:tcPr>
          <w:p w14:paraId="3DB3232C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产出指标（</w:t>
            </w:r>
            <w:r>
              <w:rPr>
                <w:rFonts w:hint="eastAsia"/>
                <w:lang w:val="en-US" w:eastAsia="zh-CN"/>
              </w:rPr>
              <w:t>50</w:t>
            </w:r>
            <w:r>
              <w:rPr>
                <w:rFonts w:hint="eastAsia"/>
              </w:rPr>
              <w:t>分）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F3A3615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F1277AA">
            <w:pPr>
              <w:pStyle w:val="16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新建雨水调蓄池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3E886ECA">
            <w:pPr>
              <w:pStyle w:val="16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反映新建雨水调蓄池调蓄面积情况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5881C69E">
            <w:pPr>
              <w:pStyle w:val="16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对项目数量指标进行考核，达到年初设置的指标为满分；未达到年初设置的指标按照实际完成情况进行得分：数量指标分数=实际完成数量/计划完成数量×100%×权重。</w:t>
            </w:r>
            <w:r>
              <w:rPr>
                <w:rFonts w:hint="eastAsia"/>
              </w:rPr>
              <w:t>实际</w:t>
            </w:r>
            <w:r>
              <w:rPr>
                <w:rFonts w:hint="eastAsia"/>
                <w:lang w:val="en-US" w:eastAsia="zh-CN"/>
              </w:rPr>
              <w:t>完成数量</w:t>
            </w:r>
            <w:r>
              <w:rPr>
                <w:rFonts w:hint="eastAsia"/>
              </w:rPr>
              <w:t>：一定时期（本年度或项目期）内项目实际产出的产品或提供的服务数量。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计划</w:t>
            </w:r>
            <w:r>
              <w:rPr>
                <w:rFonts w:hint="eastAsia"/>
                <w:lang w:val="en-US" w:eastAsia="zh-CN"/>
              </w:rPr>
              <w:t>完成数量</w:t>
            </w:r>
            <w:r>
              <w:rPr>
                <w:rFonts w:hint="eastAsia"/>
              </w:rPr>
              <w:t>：项目绩效目标确定的在一定时期（本年度或项目期）内计划</w:t>
            </w:r>
            <w:r>
              <w:rPr>
                <w:rFonts w:hint="eastAsia"/>
                <w:lang w:val="en-US" w:eastAsia="zh-CN"/>
              </w:rPr>
              <w:t>完成的</w:t>
            </w:r>
            <w:r>
              <w:rPr>
                <w:rFonts w:hint="eastAsia"/>
              </w:rPr>
              <w:t>数量。</w:t>
            </w:r>
          </w:p>
        </w:tc>
      </w:tr>
      <w:tr w14:paraId="78830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continue"/>
            <w:shd w:val="clear" w:color="auto" w:fill="auto"/>
            <w:vAlign w:val="center"/>
          </w:tcPr>
          <w:p w14:paraId="48F2C464">
            <w:pPr>
              <w:pStyle w:val="16"/>
              <w:rPr>
                <w:rFonts w:hint="eastAsia"/>
              </w:rPr>
            </w:pP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E6B2AC1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D6D2B4A">
            <w:pPr>
              <w:pStyle w:val="16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交（竣）工验收合格率</w:t>
            </w:r>
          </w:p>
        </w:tc>
        <w:tc>
          <w:tcPr>
            <w:tcW w:w="3741" w:type="dxa"/>
            <w:shd w:val="clear" w:color="auto" w:fill="auto"/>
            <w:vAlign w:val="center"/>
          </w:tcPr>
          <w:p w14:paraId="7262EB0E">
            <w:pPr>
              <w:pStyle w:val="16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项目完成的质量达标产出数与实际产出数的比率，用以反映和考核项目产出质量目标的实现程度。</w:t>
            </w:r>
          </w:p>
        </w:tc>
        <w:tc>
          <w:tcPr>
            <w:tcW w:w="6818" w:type="dxa"/>
            <w:shd w:val="clear" w:color="auto" w:fill="auto"/>
            <w:vAlign w:val="center"/>
          </w:tcPr>
          <w:p w14:paraId="59A33323">
            <w:pPr>
              <w:pStyle w:val="16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lang w:val="en-US" w:eastAsia="zh-CN"/>
              </w:rPr>
              <w:t>交（竣）工验收合格率</w:t>
            </w:r>
            <w:r>
              <w:rPr>
                <w:rFonts w:hint="default"/>
                <w:color w:val="auto"/>
              </w:rPr>
              <w:t>=</w:t>
            </w:r>
            <w:r>
              <w:rPr>
                <w:rFonts w:hint="eastAsia" w:cs="仿宋_GB2312"/>
                <w:szCs w:val="28"/>
                <w:highlight w:val="none"/>
                <w:lang w:val="en-US" w:eastAsia="zh-CN"/>
              </w:rPr>
              <w:t>验收合格工程量</w:t>
            </w:r>
            <w:r>
              <w:rPr>
                <w:rFonts w:cs="仿宋_GB2312"/>
                <w:szCs w:val="28"/>
                <w:highlight w:val="none"/>
              </w:rPr>
              <w:t>/</w:t>
            </w:r>
            <w:r>
              <w:rPr>
                <w:rFonts w:hint="eastAsia" w:cs="仿宋_GB2312"/>
                <w:szCs w:val="28"/>
                <w:highlight w:val="none"/>
                <w:lang w:val="en-US" w:eastAsia="zh-CN"/>
              </w:rPr>
              <w:t>工程总量。</w:t>
            </w:r>
          </w:p>
          <w:p w14:paraId="1D881FA5">
            <w:pPr>
              <w:pStyle w:val="16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质量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合格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产出数：一定时期（本年度或项目期）内实际达到既定质量标准的产品或服务数量。</w:t>
            </w:r>
          </w:p>
          <w:p w14:paraId="22E3D6E5">
            <w:pPr>
              <w:pStyle w:val="16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既定质量标准是指项目实施单位设立绩效目标时依据计划标准、行业标准、历史标准或其他标准而设定的绩效指标值。</w:t>
            </w:r>
          </w:p>
        </w:tc>
      </w:tr>
      <w:tr w14:paraId="7EDFD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continue"/>
            <w:shd w:val="clear" w:color="auto" w:fill="auto"/>
            <w:vAlign w:val="center"/>
          </w:tcPr>
          <w:p w14:paraId="7BEE0A53">
            <w:pPr>
              <w:pStyle w:val="16"/>
              <w:rPr>
                <w:rFonts w:hint="eastAsia"/>
              </w:rPr>
            </w:pPr>
          </w:p>
        </w:tc>
        <w:tc>
          <w:tcPr>
            <w:tcW w:w="483" w:type="pct"/>
            <w:vMerge w:val="continue"/>
            <w:shd w:val="clear" w:color="auto" w:fill="auto"/>
            <w:vAlign w:val="center"/>
          </w:tcPr>
          <w:p w14:paraId="0B8C59E9">
            <w:pPr>
              <w:pStyle w:val="16"/>
              <w:rPr>
                <w:rFonts w:hint="eastAsia"/>
              </w:rPr>
            </w:pPr>
          </w:p>
        </w:tc>
        <w:tc>
          <w:tcPr>
            <w:tcW w:w="458" w:type="pct"/>
            <w:shd w:val="clear" w:color="auto" w:fill="auto"/>
            <w:vAlign w:val="center"/>
          </w:tcPr>
          <w:p w14:paraId="1580FCDB">
            <w:pPr>
              <w:pStyle w:val="1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项目设计变更率</w:t>
            </w:r>
          </w:p>
        </w:tc>
        <w:tc>
          <w:tcPr>
            <w:tcW w:w="3741" w:type="dxa"/>
            <w:shd w:val="clear" w:color="auto" w:fill="auto"/>
            <w:vAlign w:val="center"/>
          </w:tcPr>
          <w:p w14:paraId="5268BF94">
            <w:pPr>
              <w:pStyle w:val="16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仿宋_GB2312"/>
                <w:szCs w:val="28"/>
                <w:highlight w:val="none"/>
              </w:rPr>
              <w:t>项目在执行过程中，需求或计划发生变更的频率</w:t>
            </w:r>
            <w:r>
              <w:rPr>
                <w:rFonts w:hint="eastAsia" w:cs="仿宋_GB2312"/>
                <w:szCs w:val="28"/>
                <w:highlight w:val="none"/>
                <w:lang w:eastAsia="zh-CN"/>
              </w:rPr>
              <w:t>，反映项目设计变更情况</w:t>
            </w:r>
            <w:r>
              <w:rPr>
                <w:rFonts w:cs="仿宋_GB2312"/>
                <w:szCs w:val="28"/>
                <w:highlight w:val="none"/>
              </w:rPr>
              <w:t>。</w:t>
            </w:r>
          </w:p>
        </w:tc>
        <w:tc>
          <w:tcPr>
            <w:tcW w:w="6818" w:type="dxa"/>
            <w:shd w:val="clear" w:color="auto" w:fill="auto"/>
            <w:vAlign w:val="center"/>
          </w:tcPr>
          <w:p w14:paraId="066F5995">
            <w:pPr>
              <w:pStyle w:val="16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hint="eastAsia" w:cs="仿宋_GB2312"/>
                <w:szCs w:val="28"/>
                <w:highlight w:val="none"/>
              </w:rPr>
              <w:t>设计变更率=设计变更总费用÷</w:t>
            </w:r>
            <w:r>
              <w:rPr>
                <w:rFonts w:hint="eastAsia" w:cs="仿宋_GB2312"/>
                <w:szCs w:val="28"/>
                <w:highlight w:val="none"/>
                <w:lang w:val="en-US" w:eastAsia="zh-CN"/>
              </w:rPr>
              <w:t>工程费用</w:t>
            </w:r>
            <w:r>
              <w:rPr>
                <w:rFonts w:cs="仿宋_GB2312"/>
                <w:szCs w:val="28"/>
                <w:highlight w:val="none"/>
              </w:rPr>
              <w:t>。</w:t>
            </w:r>
          </w:p>
          <w:p w14:paraId="31B5FC33">
            <w:pPr>
              <w:pStyle w:val="16"/>
              <w:ind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cs="仿宋_GB2312"/>
                <w:color w:val="auto"/>
                <w:sz w:val="28"/>
                <w:szCs w:val="28"/>
                <w:lang w:val="en-US" w:eastAsia="zh-CN"/>
              </w:rPr>
              <w:t>设计变更总费用：整个施工周期内通过设计变更增加或减少的费用支出。</w:t>
            </w:r>
          </w:p>
        </w:tc>
      </w:tr>
      <w:tr w14:paraId="38E9B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continue"/>
            <w:shd w:val="clear" w:color="auto" w:fill="auto"/>
            <w:vAlign w:val="center"/>
          </w:tcPr>
          <w:p w14:paraId="1E61F24E">
            <w:pPr>
              <w:pStyle w:val="16"/>
              <w:rPr>
                <w:rFonts w:hint="eastAsia"/>
              </w:rPr>
            </w:pP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9523CD4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时效指标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7186744">
            <w:pPr>
              <w:pStyle w:val="1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工程按时开工率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6C5CC773">
            <w:pPr>
              <w:pStyle w:val="16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项目实际</w:t>
            </w:r>
            <w:r>
              <w:rPr>
                <w:rFonts w:hint="eastAsia"/>
                <w:lang w:val="en-US" w:eastAsia="zh-CN"/>
              </w:rPr>
              <w:t>开工</w:t>
            </w:r>
            <w:r>
              <w:rPr>
                <w:rFonts w:hint="eastAsia"/>
              </w:rPr>
              <w:t>时间与计划</w:t>
            </w:r>
            <w:r>
              <w:rPr>
                <w:rFonts w:hint="eastAsia"/>
                <w:lang w:val="en-US" w:eastAsia="zh-CN"/>
              </w:rPr>
              <w:t>开工</w:t>
            </w:r>
            <w:r>
              <w:rPr>
                <w:rFonts w:hint="eastAsia"/>
              </w:rPr>
              <w:t>时间的比较，用以反映和考核项目产出时效目标的实现程度。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793347CB">
            <w:pPr>
              <w:pStyle w:val="16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项目在计划时间内开工，得满分。如果未在计划期限内开工，则酌情扣分。</w:t>
            </w:r>
          </w:p>
          <w:p w14:paraId="636624B3">
            <w:pPr>
              <w:pStyle w:val="16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实际</w:t>
            </w:r>
            <w:r>
              <w:rPr>
                <w:rFonts w:hint="eastAsia"/>
                <w:lang w:val="en-US" w:eastAsia="zh-CN"/>
              </w:rPr>
              <w:t>开工</w:t>
            </w:r>
            <w:r>
              <w:rPr>
                <w:rFonts w:hint="eastAsia"/>
              </w:rPr>
              <w:t>时间：项目实施单位实际</w:t>
            </w:r>
            <w:r>
              <w:rPr>
                <w:rFonts w:hint="eastAsia"/>
                <w:lang w:val="en-US" w:eastAsia="zh-CN"/>
              </w:rPr>
              <w:t>开工</w:t>
            </w:r>
            <w:r>
              <w:rPr>
                <w:rFonts w:hint="eastAsia"/>
              </w:rPr>
              <w:t>时间。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计划</w:t>
            </w:r>
            <w:r>
              <w:rPr>
                <w:rFonts w:hint="eastAsia"/>
                <w:lang w:val="en-US" w:eastAsia="zh-CN"/>
              </w:rPr>
              <w:t>开工</w:t>
            </w:r>
            <w:r>
              <w:rPr>
                <w:rFonts w:hint="eastAsia"/>
              </w:rPr>
              <w:t>时间：按照项目实施计划或相关规定</w:t>
            </w:r>
            <w:r>
              <w:rPr>
                <w:rFonts w:hint="eastAsia"/>
                <w:lang w:val="en-US" w:eastAsia="zh-CN"/>
              </w:rPr>
              <w:t>计划开工时间</w:t>
            </w:r>
            <w:r>
              <w:rPr>
                <w:rFonts w:hint="eastAsia"/>
              </w:rPr>
              <w:t>。</w:t>
            </w:r>
          </w:p>
        </w:tc>
      </w:tr>
      <w:tr w14:paraId="5E1E6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continue"/>
            <w:shd w:val="clear" w:color="auto" w:fill="auto"/>
            <w:vAlign w:val="center"/>
          </w:tcPr>
          <w:p w14:paraId="1F3DB64B">
            <w:pPr>
              <w:pStyle w:val="16"/>
              <w:rPr>
                <w:rFonts w:hint="eastAsia"/>
              </w:rPr>
            </w:pPr>
          </w:p>
        </w:tc>
        <w:tc>
          <w:tcPr>
            <w:tcW w:w="483" w:type="pct"/>
            <w:vMerge w:val="continue"/>
            <w:shd w:val="clear" w:color="auto" w:fill="auto"/>
            <w:vAlign w:val="center"/>
          </w:tcPr>
          <w:p w14:paraId="210E78F9">
            <w:pPr>
              <w:pStyle w:val="16"/>
              <w:rPr>
                <w:rFonts w:hint="eastAsia"/>
              </w:rPr>
            </w:pPr>
          </w:p>
        </w:tc>
        <w:tc>
          <w:tcPr>
            <w:tcW w:w="458" w:type="pct"/>
            <w:shd w:val="clear" w:color="auto" w:fill="auto"/>
            <w:vAlign w:val="center"/>
          </w:tcPr>
          <w:p w14:paraId="61A76DE5">
            <w:pPr>
              <w:pStyle w:val="1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工程完成时间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0F0D046A">
            <w:pPr>
              <w:pStyle w:val="16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项目实际完成时间与计划完成时间的比较，用以反映和考核项目产出时效目标的实现程度。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515083F2">
            <w:pPr>
              <w:pStyle w:val="16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项目在计划时间内完成，得满分。如果未在计划期限内完成项目，则酌情扣分。</w:t>
            </w:r>
          </w:p>
          <w:p w14:paraId="6096505E">
            <w:pPr>
              <w:pStyle w:val="16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实际完成时间：项目实施单位完成该项目实际所耗用的时间。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计划完成时间：按照项目实施计划或相关规定完成该项目所需的时间。</w:t>
            </w:r>
          </w:p>
        </w:tc>
      </w:tr>
      <w:tr w14:paraId="31FCC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continue"/>
            <w:shd w:val="clear" w:color="auto" w:fill="auto"/>
            <w:vAlign w:val="center"/>
          </w:tcPr>
          <w:p w14:paraId="70184C50">
            <w:pPr>
              <w:pStyle w:val="16"/>
              <w:rPr>
                <w:rFonts w:hint="eastAsia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14:paraId="370520B6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成本指标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7610302">
            <w:pPr>
              <w:pStyle w:val="16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工程建设成本控制情况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79E8DF5">
            <w:pPr>
              <w:pStyle w:val="16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控制在项目预算范围内，实现成本效益最大化。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4052088B">
            <w:pPr>
              <w:pStyle w:val="16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项目实际成本在计划成本范围内，则本项指标满分。如超过计划成本，则本项不得分。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实际成本：项目实施单位如期、保质、保量完成既定工作目标实际所耗费的支出。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计划成本：项目实施单位为完成工作目标计划安排的支出，一般以项目预算为参考。</w:t>
            </w:r>
          </w:p>
        </w:tc>
      </w:tr>
      <w:tr w14:paraId="5BDB5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restart"/>
            <w:shd w:val="clear" w:color="auto" w:fill="auto"/>
            <w:vAlign w:val="center"/>
          </w:tcPr>
          <w:p w14:paraId="177C7752">
            <w:pPr>
              <w:pStyle w:val="16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效益指标（30分）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3FE3E1ED">
            <w:pPr>
              <w:pStyle w:val="16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社会效益指标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2581439">
            <w:pPr>
              <w:pStyle w:val="16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排涝能力提升率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3CE8CA0B">
            <w:pPr>
              <w:pStyle w:val="16"/>
              <w:ind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新建后排涝能力较之前提升</w:t>
            </w:r>
            <w:r>
              <w:rPr>
                <w:rFonts w:hint="eastAsia"/>
                <w:lang w:val="en-US" w:eastAsia="zh-CN"/>
              </w:rPr>
              <w:t>情况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29FFAD11">
            <w:pPr>
              <w:pStyle w:val="16"/>
              <w:ind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排水能力与历史现状对比，项目实施较上一年相比，提高了排水能力，则本项得满分。</w:t>
            </w:r>
          </w:p>
        </w:tc>
      </w:tr>
      <w:tr w14:paraId="15866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continue"/>
            <w:shd w:val="clear" w:color="auto" w:fill="auto"/>
            <w:vAlign w:val="center"/>
          </w:tcPr>
          <w:p w14:paraId="0BDE6EF4">
            <w:pPr>
              <w:pStyle w:val="16"/>
              <w:rPr>
                <w:rFonts w:hint="eastAsia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14:paraId="2FA3E55B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可持续影响指标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E4B8CE9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可持续使用时间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30577A13">
            <w:pPr>
              <w:pStyle w:val="16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工程建成后正常使用年限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2326C2D1">
            <w:pPr>
              <w:pStyle w:val="16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工程建成后正常投入运行，则本项得满分。</w:t>
            </w:r>
          </w:p>
        </w:tc>
      </w:tr>
      <w:tr w14:paraId="1C032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shd w:val="clear" w:color="auto" w:fill="auto"/>
            <w:vAlign w:val="center"/>
          </w:tcPr>
          <w:p w14:paraId="75EB0418">
            <w:pPr>
              <w:pStyle w:val="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满意度指标（10分）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7298A3AD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服务对象满意度指标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C67C78C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受益群众满意度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7407E59">
            <w:pPr>
              <w:pStyle w:val="16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通过走访群众调查满意程度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737B7120">
            <w:pPr>
              <w:pStyle w:val="16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群众满意达90%以上得满分，不足酌情扣分。</w:t>
            </w:r>
          </w:p>
        </w:tc>
      </w:tr>
      <w:tr w14:paraId="0DD8C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shd w:val="clear" w:color="auto" w:fill="auto"/>
            <w:vAlign w:val="center"/>
          </w:tcPr>
          <w:p w14:paraId="1A660D43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预算执行率指标（10分）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25D499D5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预算执行率指标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D6C7454">
            <w:pPr>
              <w:pStyle w:val="16"/>
              <w:rPr>
                <w:rFonts w:hint="eastAsia"/>
              </w:rPr>
            </w:pPr>
            <w:r>
              <w:rPr>
                <w:rFonts w:hint="eastAsia"/>
              </w:rPr>
              <w:t>预算执行率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257107FF">
            <w:pPr>
              <w:pStyle w:val="16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实际支出与预算的匹配程度，预算执行率越高得分越高。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55E2BA11">
            <w:pPr>
              <w:pStyle w:val="16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“预算执行率”指标得分为系统自动生成，当“预算执行进度≥95%”时，“预算执行率”指标自评得分自动显示为10分；当“预算执行进度＜95%”时，“预算执行率”指标自评得分=预算执行进度*10。</w:t>
            </w:r>
          </w:p>
          <w:p w14:paraId="654BF662">
            <w:pPr>
              <w:pStyle w:val="16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“预算执行进度”由系统自动生成，计算公式为：预算执行进度=执行数/预算数*100%；</w:t>
            </w:r>
          </w:p>
        </w:tc>
      </w:tr>
    </w:tbl>
    <w:p w14:paraId="2A908253">
      <w:pPr>
        <w:widowControl w:val="0"/>
        <w:wordWrap/>
        <w:spacing w:line="360" w:lineRule="auto"/>
        <w:ind w:left="0" w:leftChars="0" w:right="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 xml:space="preserve">   </w:t>
      </w:r>
    </w:p>
    <w:p w14:paraId="7F32FA94">
      <w:pPr>
        <w:widowControl w:val="0"/>
        <w:wordWrap/>
        <w:spacing w:line="360" w:lineRule="auto"/>
        <w:ind w:left="0" w:leftChars="0" w:right="0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项目执行及绩效实现情况</w:t>
      </w:r>
    </w:p>
    <w:p w14:paraId="27E4DD1B">
      <w:pPr>
        <w:widowControl w:val="0"/>
        <w:numPr>
          <w:ilvl w:val="0"/>
          <w:numId w:val="8"/>
        </w:numPr>
        <w:wordWrap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预算执行情况</w:t>
      </w:r>
    </w:p>
    <w:p w14:paraId="75C96C8F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本项目总投资为13054.00万元，其中，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其中，国债中央补助资金10443万元，国债省级补助资金522.15万元，市级配套资金2088.85万元。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。</w:t>
      </w:r>
    </w:p>
    <w:p w14:paraId="587592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项目预算支出7411.09万元，预算执行进度为56.77%。其中：国债资金支出7409.56万元，市级配套资金支出1.53万元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。</w:t>
      </w:r>
    </w:p>
    <w:p w14:paraId="719EB5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此项满分10分，按照评分办法，得分=56.77%*10分=5.68分。</w:t>
      </w:r>
    </w:p>
    <w:p w14:paraId="104F1915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321" w:firstLineChars="1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（二）项目产出</w:t>
      </w:r>
    </w:p>
    <w:p w14:paraId="08B974C0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1、数量指标</w:t>
      </w:r>
    </w:p>
    <w:p w14:paraId="2DDD1EBB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项目数量指标为“新建雨水调蓄池调蓄”，项目实际新建新建雨水调蓄4.2万立方米。符合计划数量指标，此项满分10分，评价得分10分。</w:t>
      </w:r>
    </w:p>
    <w:p w14:paraId="2FD55EAA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2、质量指标</w:t>
      </w:r>
    </w:p>
    <w:p w14:paraId="0F010BA2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项目质量验收合格率预期指标值为“=100.00%”，实际质量验收合格率100%；项目设计变更率预期指标值为“≤10.00%”，实际设计变更率为0。该项目前期按照规定程序申请立项，有可行性研究报告、初步设计、实施方案、开工许可等，资料符合相关要求。该项目在石家庄市公共资源交易平台进行公开招标，招投标手续完备且符合《中华人民共和国招标投标法》和《中华人民共和国政府采购法》。</w:t>
      </w:r>
    </w:p>
    <w:p w14:paraId="31A84628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分部、分项工程质量检验资料符合设计要求及国家相关技术标准规范,工程资料齐全完整，工程质量合格。</w:t>
      </w:r>
      <w:r>
        <w:rPr>
          <w:rFonts w:hint="eastAsia" w:ascii="仿宋" w:hAnsi="仿宋" w:eastAsia="仿宋" w:cs="仿宋"/>
          <w:sz w:val="32"/>
          <w:szCs w:val="32"/>
        </w:rPr>
        <w:t>此项满分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分，根据质量指标完成情况分析，评价得分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分。</w:t>
      </w:r>
    </w:p>
    <w:p w14:paraId="4D94A43F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3、时效指标</w:t>
      </w:r>
    </w:p>
    <w:p w14:paraId="4ED75309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项目按时开工时限预期指标值为“100%按时开工”；按时完成时限预期指标值为“2024年12月31日”。项目于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2024年4月3日完成初步设计批复，2024年5月16日前完成施工、监理招标，5月21日完成施工许可手续，5月23日开工建设，2024年12月31日完工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。此项满分16分，评价得分16分。</w:t>
      </w:r>
    </w:p>
    <w:p w14:paraId="2CB30B5A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4、成本指标</w:t>
      </w:r>
    </w:p>
    <w:p w14:paraId="0C2EDF9F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项目单位成本指标为“工程建设成本控制情况≤3108万元/平方米”，截至2024年12月31日，本项目工程建设成本为3108万元/平方米，单位成本在计划单位指标范围内，此项满分8分，评价得分8分。</w:t>
      </w:r>
    </w:p>
    <w:p w14:paraId="75EA6C4A">
      <w:pPr>
        <w:widowControl w:val="0"/>
        <w:wordWrap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（三）项目效益</w:t>
      </w:r>
    </w:p>
    <w:p w14:paraId="5EA6A2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640" w:firstLineChars="200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项目社会效益指标为“排涝能力提升率”。本项目建成后，将解决降雨后积水的问题，较往年将极大改善市民雨季出行环境，对城市交通畅通、市民的出行安全起到重要作用，预计项目建成后排涝能力提升率较上一年度提升95%。</w:t>
      </w:r>
    </w:p>
    <w:p w14:paraId="7433429C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社会效益指标满分15分，评价得分15分。</w:t>
      </w:r>
    </w:p>
    <w:p w14:paraId="124A6567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项目可持续影响指标为“可持续使用时间”。该项目正常投入运行后，设施运行达到规定使用年限50年。</w:t>
      </w:r>
    </w:p>
    <w:p w14:paraId="762C72D6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可持续影响指标</w:t>
      </w:r>
      <w:bookmarkStart w:id="0" w:name="_GoBack"/>
      <w:bookmarkEnd w:id="0"/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满分15分，评价得分15分。</w:t>
      </w:r>
    </w:p>
    <w:p w14:paraId="61A3CB38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（四）项目满意度</w:t>
      </w:r>
    </w:p>
    <w:p w14:paraId="603BD13D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满意度指标为服务对象满意度指标≥90%，本项目实施后，受益群众满意度为92%.此项满分10.0分，评价得分10.0分。</w:t>
      </w:r>
    </w:p>
    <w:p w14:paraId="23D2F166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四、项目综合评价结论和评价等级</w:t>
      </w:r>
    </w:p>
    <w:p w14:paraId="6C0169A4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此次绩效评价通过组织论证的评价指标体系及评分标准，采用的方法比较法、公众评判法，对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明珠街、石铜路、槐中路雨水调蓄设施新建工程</w:t>
      </w:r>
      <w:r>
        <w:rPr>
          <w:rFonts w:hint="eastAsia" w:ascii="仿宋_GB2312" w:eastAsia="仿宋_GB2312"/>
          <w:sz w:val="32"/>
          <w:szCs w:val="32"/>
        </w:rPr>
        <w:t>项目绩效进行客观评价，最终评分结果：总分为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95.68</w:t>
      </w:r>
      <w:r>
        <w:rPr>
          <w:rFonts w:hint="eastAsia" w:ascii="仿宋_GB2312" w:eastAsia="仿宋_GB2312"/>
          <w:sz w:val="32"/>
          <w:szCs w:val="32"/>
        </w:rPr>
        <w:t>分，绩效评级为“优秀”。</w:t>
      </w:r>
    </w:p>
    <w:p w14:paraId="3DC4FF2C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3" w:firstLineChars="200"/>
        <w:jc w:val="center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项目自评</w:t>
      </w:r>
      <w:r>
        <w:rPr>
          <w:rFonts w:hint="eastAsia" w:ascii="仿宋_GB2312" w:eastAsia="仿宋_GB2312"/>
          <w:b/>
          <w:bCs/>
          <w:sz w:val="32"/>
          <w:szCs w:val="32"/>
        </w:rPr>
        <w:t>得分表</w:t>
      </w:r>
    </w:p>
    <w:tbl>
      <w:tblPr>
        <w:tblStyle w:val="12"/>
        <w:tblW w:w="4877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73"/>
        <w:gridCol w:w="1777"/>
        <w:gridCol w:w="1421"/>
        <w:gridCol w:w="1257"/>
        <w:gridCol w:w="1034"/>
        <w:gridCol w:w="869"/>
      </w:tblGrid>
      <w:tr w14:paraId="7832B0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D2033">
            <w:pPr>
              <w:pStyle w:val="16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指标类别</w:t>
            </w:r>
          </w:p>
        </w:tc>
        <w:tc>
          <w:tcPr>
            <w:tcW w:w="10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7F23C6">
            <w:pPr>
              <w:pStyle w:val="16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预算执行率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4E1E92">
            <w:pPr>
              <w:pStyle w:val="16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项目产出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2DDD7">
            <w:pPr>
              <w:pStyle w:val="16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项目效益</w:t>
            </w:r>
          </w:p>
        </w:tc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009865">
            <w:pPr>
              <w:pStyle w:val="16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满意度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32B92">
            <w:pPr>
              <w:pStyle w:val="16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合计</w:t>
            </w:r>
          </w:p>
        </w:tc>
      </w:tr>
      <w:tr w14:paraId="2B7E0C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07E58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满分分值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（分）</w:t>
            </w:r>
          </w:p>
        </w:tc>
        <w:tc>
          <w:tcPr>
            <w:tcW w:w="10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98D9F2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10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0EBBAD">
            <w:pPr>
              <w:pStyle w:val="16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F1391B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30</w:t>
            </w:r>
          </w:p>
        </w:tc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5659C">
            <w:pPr>
              <w:pStyle w:val="16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A36A7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100</w:t>
            </w:r>
          </w:p>
        </w:tc>
      </w:tr>
      <w:tr w14:paraId="39549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708759">
            <w:pPr>
              <w:pStyle w:val="16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自评得分（分）</w:t>
            </w:r>
          </w:p>
        </w:tc>
        <w:tc>
          <w:tcPr>
            <w:tcW w:w="10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BE489">
            <w:pPr>
              <w:pStyle w:val="16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5.68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75586B">
            <w:pPr>
              <w:pStyle w:val="16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8CA3C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B17770">
            <w:pPr>
              <w:pStyle w:val="16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6B992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95.68</w:t>
            </w:r>
          </w:p>
        </w:tc>
      </w:tr>
    </w:tbl>
    <w:p w14:paraId="01E632D9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五、存在的问题及改进措施</w:t>
      </w:r>
    </w:p>
    <w:p w14:paraId="6912059F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楷体_GB2312" w:hAns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  <w:lang w:val="en-US" w:eastAsia="zh-CN"/>
        </w:rPr>
        <w:t>（一）项目存在的主要问题</w:t>
      </w:r>
    </w:p>
    <w:p w14:paraId="5A4F499F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、预算执行率低</w:t>
      </w:r>
    </w:p>
    <w:p w14:paraId="667653F1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年预算数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13054.00万</w:t>
      </w:r>
      <w:r>
        <w:rPr>
          <w:rFonts w:hint="eastAsia" w:ascii="仿宋_GB2312" w:eastAsia="仿宋_GB2312"/>
          <w:sz w:val="32"/>
          <w:szCs w:val="32"/>
        </w:rPr>
        <w:t>元，截至评价日，实际支出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7411.09万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预算执行率为56.77%。目前，项目已经按照合同约定支付款项，部分费用尚未支出，剩余资金待市评审中心审定后拨付。</w:t>
      </w:r>
    </w:p>
    <w:p w14:paraId="21F9C368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rightChars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hAnsi="Calibri" w:eastAsia="仿宋_GB2312" w:cs="黑体"/>
          <w:b/>
          <w:bCs/>
          <w:kern w:val="2"/>
          <w:sz w:val="32"/>
          <w:szCs w:val="32"/>
          <w:lang w:val="en-US" w:eastAsia="zh-CN" w:bidi="ar-SA"/>
        </w:rPr>
        <w:t>3、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项目未办理竣工验收</w:t>
      </w:r>
    </w:p>
    <w:p w14:paraId="26A71CBB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firstLine="640" w:firstLineChars="20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项目已经于2024年12月30日完工，尚未办理竣工验收手续。</w:t>
      </w:r>
    </w:p>
    <w:p w14:paraId="35AAF934">
      <w:pPr>
        <w:widowControl w:val="0"/>
        <w:numPr>
          <w:ilvl w:val="0"/>
          <w:numId w:val="8"/>
        </w:numPr>
        <w:wordWrap/>
        <w:spacing w:line="360" w:lineRule="auto"/>
        <w:ind w:left="0" w:leftChars="0" w:right="0" w:firstLine="643" w:firstLineChars="200"/>
        <w:textAlignment w:val="auto"/>
        <w:outlineLvl w:val="9"/>
        <w:rPr>
          <w:rFonts w:hint="eastAsia" w:ascii="楷体_GB2312" w:hAns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  <w:lang w:val="en-US" w:eastAsia="zh-CN"/>
        </w:rPr>
        <w:t>针对问题提出具体的改进措施或建议</w:t>
      </w:r>
    </w:p>
    <w:p w14:paraId="7AA441D7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rightChars="0"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 w:cs="黑体"/>
          <w:b/>
          <w:bCs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Calibri" w:eastAsia="仿宋_GB2312" w:cs="黑体"/>
          <w:b/>
          <w:bCs/>
          <w:kern w:val="2"/>
          <w:sz w:val="32"/>
          <w:szCs w:val="32"/>
          <w:lang w:val="en-US" w:eastAsia="zh-CN" w:bidi="ar-SA"/>
        </w:rPr>
        <w:t>、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提高预算资金编制的合理性和科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学性</w:t>
      </w:r>
    </w:p>
    <w:p w14:paraId="079CFBD2">
      <w:pPr>
        <w:widowControl w:val="0"/>
        <w:numPr>
          <w:ilvl w:val="0"/>
          <w:numId w:val="0"/>
        </w:numPr>
        <w:wordWrap/>
        <w:spacing w:line="360" w:lineRule="auto"/>
        <w:ind w:right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依据项目进展或单位工作实际情况安排预算支出，编制预算时，考虑项目实施情况，以及项目质保金等问题。</w:t>
      </w:r>
    </w:p>
    <w:p w14:paraId="79973513">
      <w:pPr>
        <w:widowControl w:val="0"/>
        <w:numPr>
          <w:ilvl w:val="0"/>
          <w:numId w:val="0"/>
        </w:numPr>
        <w:wordWrap/>
        <w:spacing w:line="360" w:lineRule="auto"/>
        <w:ind w:left="0" w:leftChars="0" w:right="0" w:rightChars="0" w:firstLine="643" w:firstLineChars="200"/>
        <w:textAlignment w:val="auto"/>
        <w:outlineLvl w:val="9"/>
        <w:rPr>
          <w:rFonts w:hint="default" w:ascii="仿宋_GB2312" w:eastAsia="仿宋_GB2312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黑体"/>
          <w:b/>
          <w:bCs/>
          <w:kern w:val="2"/>
          <w:sz w:val="32"/>
          <w:szCs w:val="32"/>
          <w:lang w:val="en-US" w:eastAsia="zh-CN" w:bidi="ar-SA"/>
        </w:rPr>
        <w:t>2、加快竣工验收手续办理</w:t>
      </w:r>
    </w:p>
    <w:p w14:paraId="7115D138">
      <w:pPr>
        <w:widowControl w:val="0"/>
        <w:numPr>
          <w:ilvl w:val="0"/>
          <w:numId w:val="0"/>
        </w:numPr>
        <w:wordWrap/>
        <w:spacing w:line="360" w:lineRule="auto"/>
        <w:ind w:right="0" w:firstLine="640" w:firstLineChars="20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安排专人负责跟进竣工验收工作，加强与各方的沟通协调，加快进度完成竣工验收的各项准备工作，争取早日完成竣工验收报告。</w:t>
      </w:r>
    </w:p>
    <w:p w14:paraId="5AED6452">
      <w:pPr>
        <w:widowControl w:val="0"/>
        <w:numPr>
          <w:ilvl w:val="0"/>
          <w:numId w:val="9"/>
        </w:numPr>
        <w:wordWrap/>
        <w:adjustRightInd w:val="0"/>
        <w:snapToGrid w:val="0"/>
        <w:spacing w:line="360" w:lineRule="auto"/>
        <w:ind w:left="0" w:leftChars="0" w:right="0" w:firstLine="640" w:firstLineChars="200"/>
        <w:textAlignment w:val="auto"/>
        <w:outlineLvl w:val="9"/>
        <w:rPr>
          <w:rFonts w:hint="eastAsia" w:ascii="黑体" w:eastAsia="黑体"/>
          <w:b w:val="0"/>
          <w:bCs w:val="0"/>
          <w:sz w:val="32"/>
          <w:szCs w:val="32"/>
        </w:rPr>
      </w:pPr>
      <w:r>
        <w:rPr>
          <w:rFonts w:hint="eastAsia" w:ascii="黑体" w:eastAsia="黑体"/>
          <w:b w:val="0"/>
          <w:bCs w:val="0"/>
          <w:sz w:val="32"/>
          <w:szCs w:val="32"/>
        </w:rPr>
        <w:t>评价工作组人员名单及签字</w:t>
      </w:r>
    </w:p>
    <w:tbl>
      <w:tblPr>
        <w:tblStyle w:val="1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4450"/>
        <w:gridCol w:w="1733"/>
        <w:gridCol w:w="1192"/>
      </w:tblGrid>
      <w:tr w14:paraId="01454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671" w:type="pct"/>
          </w:tcPr>
          <w:p w14:paraId="2ACE0BB1">
            <w:pPr>
              <w:pStyle w:val="16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姓名</w:t>
            </w:r>
          </w:p>
        </w:tc>
        <w:tc>
          <w:tcPr>
            <w:tcW w:w="2611" w:type="pct"/>
          </w:tcPr>
          <w:p w14:paraId="552A67CD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工作单位</w:t>
            </w:r>
          </w:p>
        </w:tc>
        <w:tc>
          <w:tcPr>
            <w:tcW w:w="1017" w:type="pct"/>
          </w:tcPr>
          <w:p w14:paraId="7485E80D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职务</w:t>
            </w:r>
          </w:p>
        </w:tc>
        <w:tc>
          <w:tcPr>
            <w:tcW w:w="699" w:type="pct"/>
          </w:tcPr>
          <w:p w14:paraId="4F888CE7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签字</w:t>
            </w:r>
          </w:p>
        </w:tc>
      </w:tr>
      <w:tr w14:paraId="48DC1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671" w:type="pct"/>
          </w:tcPr>
          <w:p w14:paraId="27435A16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李永青</w:t>
            </w:r>
          </w:p>
        </w:tc>
        <w:tc>
          <w:tcPr>
            <w:tcW w:w="2611" w:type="pct"/>
          </w:tcPr>
          <w:p w14:paraId="1C2CF6AB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石家庄市城市管理综合行政执法局</w:t>
            </w:r>
          </w:p>
        </w:tc>
        <w:tc>
          <w:tcPr>
            <w:tcW w:w="1017" w:type="pct"/>
          </w:tcPr>
          <w:p w14:paraId="36E1DE15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副局长</w:t>
            </w:r>
          </w:p>
        </w:tc>
        <w:tc>
          <w:tcPr>
            <w:tcW w:w="699" w:type="pct"/>
          </w:tcPr>
          <w:p w14:paraId="111D1A74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3AB30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671" w:type="pct"/>
          </w:tcPr>
          <w:p w14:paraId="76F0643F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亓鹏</w:t>
            </w:r>
          </w:p>
        </w:tc>
        <w:tc>
          <w:tcPr>
            <w:tcW w:w="2611" w:type="pct"/>
          </w:tcPr>
          <w:p w14:paraId="7FF41C90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石家庄市城市管理综合行政执法局</w:t>
            </w:r>
          </w:p>
        </w:tc>
        <w:tc>
          <w:tcPr>
            <w:tcW w:w="1017" w:type="pct"/>
          </w:tcPr>
          <w:p w14:paraId="73A92AEC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市政科科长</w:t>
            </w:r>
          </w:p>
        </w:tc>
        <w:tc>
          <w:tcPr>
            <w:tcW w:w="699" w:type="pct"/>
          </w:tcPr>
          <w:p w14:paraId="2ABD7819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8FDC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671" w:type="pct"/>
          </w:tcPr>
          <w:p w14:paraId="7414B71E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王辉</w:t>
            </w:r>
          </w:p>
        </w:tc>
        <w:tc>
          <w:tcPr>
            <w:tcW w:w="2611" w:type="pct"/>
          </w:tcPr>
          <w:p w14:paraId="55B0E396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石家庄市城市管理综合行政执法局</w:t>
            </w:r>
          </w:p>
        </w:tc>
        <w:tc>
          <w:tcPr>
            <w:tcW w:w="1017" w:type="pct"/>
          </w:tcPr>
          <w:p w14:paraId="214E4604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财务科科长</w:t>
            </w:r>
          </w:p>
        </w:tc>
        <w:tc>
          <w:tcPr>
            <w:tcW w:w="699" w:type="pct"/>
          </w:tcPr>
          <w:p w14:paraId="0D9648CC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7313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671" w:type="pct"/>
          </w:tcPr>
          <w:p w14:paraId="1A43373C">
            <w:pPr>
              <w:pStyle w:val="16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白雪锋</w:t>
            </w:r>
          </w:p>
        </w:tc>
        <w:tc>
          <w:tcPr>
            <w:tcW w:w="2611" w:type="pct"/>
          </w:tcPr>
          <w:p w14:paraId="30FAECF2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石家庄市城市管理综合行政执法局</w:t>
            </w:r>
          </w:p>
        </w:tc>
        <w:tc>
          <w:tcPr>
            <w:tcW w:w="1017" w:type="pct"/>
          </w:tcPr>
          <w:p w14:paraId="5BA69FB2">
            <w:pPr>
              <w:pStyle w:val="16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市政科科员</w:t>
            </w:r>
          </w:p>
        </w:tc>
        <w:tc>
          <w:tcPr>
            <w:tcW w:w="699" w:type="pct"/>
          </w:tcPr>
          <w:p w14:paraId="34F472DA">
            <w:pPr>
              <w:pStyle w:val="1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</w:tbl>
    <w:p w14:paraId="78A8DBE8">
      <w:pPr>
        <w:widowControl w:val="0"/>
        <w:wordWrap/>
        <w:spacing w:line="36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E5A31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088D1C"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6088D1C"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- 1 -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C61DA"/>
    <w:multiLevelType w:val="multilevel"/>
    <w:tmpl w:val="82BC61DA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eastAsia="黑体"/>
        <w:sz w:val="32"/>
      </w:rPr>
    </w:lvl>
    <w:lvl w:ilvl="1" w:tentative="0">
      <w:start w:val="1"/>
      <w:numFmt w:val="chineseCounting"/>
      <w:pStyle w:val="2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 w:eastAsia="楷体"/>
        <w:b/>
        <w:sz w:val="32"/>
      </w:rPr>
    </w:lvl>
    <w:lvl w:ilvl="2" w:tentative="0">
      <w:start w:val="1"/>
      <w:numFmt w:val="decimal"/>
      <w:pStyle w:val="3"/>
      <w:suff w:val="nothing"/>
      <w:lvlText w:val="%3、"/>
      <w:lvlJc w:val="left"/>
      <w:pPr>
        <w:ind w:left="0" w:firstLine="400"/>
      </w:pPr>
      <w:rPr>
        <w:rFonts w:hint="eastAsia" w:eastAsia="仿宋_GB2312"/>
        <w:b/>
        <w:sz w:val="32"/>
      </w:rPr>
    </w:lvl>
    <w:lvl w:ilvl="3" w:tentative="0">
      <w:start w:val="1"/>
      <w:numFmt w:val="decimal"/>
      <w:pStyle w:val="4"/>
      <w:suff w:val="nothing"/>
      <w:lvlText w:val="（%4）"/>
      <w:lvlJc w:val="left"/>
      <w:pPr>
        <w:tabs>
          <w:tab w:val="left" w:pos="0"/>
        </w:tabs>
        <w:ind w:left="0" w:firstLine="402"/>
      </w:pPr>
      <w:rPr>
        <w:rFonts w:hint="eastAsia" w:ascii="仿宋_GB2312" w:hAnsi="仿宋_GB2312" w:eastAsia="仿宋_GB2312" w:cs="仿宋_GB2312"/>
        <w:sz w:val="32"/>
        <w:szCs w:val="32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843239E6"/>
    <w:multiLevelType w:val="singleLevel"/>
    <w:tmpl w:val="843239E6"/>
    <w:lvl w:ilvl="0" w:tentative="0">
      <w:start w:val="2"/>
      <w:numFmt w:val="chineseCounting"/>
      <w:suff w:val="nothing"/>
      <w:lvlText w:val="（%1）"/>
      <w:lvlJc w:val="left"/>
      <w:pPr>
        <w:ind w:left="642" w:leftChars="0" w:firstLine="0" w:firstLineChars="0"/>
      </w:pPr>
      <w:rPr>
        <w:rFonts w:hint="eastAsia"/>
      </w:rPr>
    </w:lvl>
  </w:abstractNum>
  <w:abstractNum w:abstractNumId="2">
    <w:nsid w:val="D5C57F70"/>
    <w:multiLevelType w:val="singleLevel"/>
    <w:tmpl w:val="D5C57F7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549BBBC"/>
    <w:multiLevelType w:val="singleLevel"/>
    <w:tmpl w:val="1549BBBC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1E1184A2"/>
    <w:multiLevelType w:val="singleLevel"/>
    <w:tmpl w:val="1E1184A2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473E2330"/>
    <w:multiLevelType w:val="singleLevel"/>
    <w:tmpl w:val="473E2330"/>
    <w:lvl w:ilvl="0" w:tentative="0">
      <w:start w:val="2"/>
      <w:numFmt w:val="decimal"/>
      <w:suff w:val="nothing"/>
      <w:lvlText w:val="（%1）"/>
      <w:lvlJc w:val="left"/>
    </w:lvl>
  </w:abstractNum>
  <w:abstractNum w:abstractNumId="6">
    <w:nsid w:val="5E68489B"/>
    <w:multiLevelType w:val="singleLevel"/>
    <w:tmpl w:val="5E68489B"/>
    <w:lvl w:ilvl="0" w:tentative="0">
      <w:start w:val="1"/>
      <w:numFmt w:val="chineseCounting"/>
      <w:suff w:val="nothing"/>
      <w:lvlText w:val="（%1）"/>
      <w:lvlJc w:val="left"/>
    </w:lvl>
  </w:abstractNum>
  <w:abstractNum w:abstractNumId="7">
    <w:nsid w:val="73068240"/>
    <w:multiLevelType w:val="singleLevel"/>
    <w:tmpl w:val="73068240"/>
    <w:lvl w:ilvl="0" w:tentative="0">
      <w:start w:val="3"/>
      <w:numFmt w:val="decimal"/>
      <w:suff w:val="nothing"/>
      <w:lvlText w:val="%1）"/>
      <w:lvlJc w:val="left"/>
    </w:lvl>
  </w:abstractNum>
  <w:abstractNum w:abstractNumId="8">
    <w:nsid w:val="7F23328D"/>
    <w:multiLevelType w:val="singleLevel"/>
    <w:tmpl w:val="7F23328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D2122"/>
    <w:rsid w:val="00CB6CDC"/>
    <w:rsid w:val="01202A68"/>
    <w:rsid w:val="020C396B"/>
    <w:rsid w:val="02B43A28"/>
    <w:rsid w:val="04903689"/>
    <w:rsid w:val="05137986"/>
    <w:rsid w:val="07736C45"/>
    <w:rsid w:val="079B438E"/>
    <w:rsid w:val="07CB2B57"/>
    <w:rsid w:val="07E43A81"/>
    <w:rsid w:val="084A0EA6"/>
    <w:rsid w:val="0A983F6E"/>
    <w:rsid w:val="0AC55D37"/>
    <w:rsid w:val="0D026967"/>
    <w:rsid w:val="0EB97A43"/>
    <w:rsid w:val="0EBD2122"/>
    <w:rsid w:val="0EF77D1B"/>
    <w:rsid w:val="11B71E6A"/>
    <w:rsid w:val="11F2097D"/>
    <w:rsid w:val="122B1DDC"/>
    <w:rsid w:val="12F54397"/>
    <w:rsid w:val="13E77B33"/>
    <w:rsid w:val="13FF7A53"/>
    <w:rsid w:val="157716C8"/>
    <w:rsid w:val="17BA627B"/>
    <w:rsid w:val="18322A41"/>
    <w:rsid w:val="1850088D"/>
    <w:rsid w:val="18EB67F8"/>
    <w:rsid w:val="19E67D6D"/>
    <w:rsid w:val="1A961EAB"/>
    <w:rsid w:val="1AAF0063"/>
    <w:rsid w:val="1B3B3CBE"/>
    <w:rsid w:val="1BE140DE"/>
    <w:rsid w:val="1D052F29"/>
    <w:rsid w:val="1D4C369E"/>
    <w:rsid w:val="1D67554C"/>
    <w:rsid w:val="1F4B69E7"/>
    <w:rsid w:val="209854B7"/>
    <w:rsid w:val="212F207F"/>
    <w:rsid w:val="22E329CA"/>
    <w:rsid w:val="22F53F69"/>
    <w:rsid w:val="24710ED7"/>
    <w:rsid w:val="248C197D"/>
    <w:rsid w:val="25157ED9"/>
    <w:rsid w:val="252959AF"/>
    <w:rsid w:val="25DE362C"/>
    <w:rsid w:val="277A6671"/>
    <w:rsid w:val="28975DA4"/>
    <w:rsid w:val="2B2F7FE6"/>
    <w:rsid w:val="2D642184"/>
    <w:rsid w:val="2E6764C9"/>
    <w:rsid w:val="30E965CE"/>
    <w:rsid w:val="310B5831"/>
    <w:rsid w:val="33EB6CFF"/>
    <w:rsid w:val="34563CEC"/>
    <w:rsid w:val="381479A2"/>
    <w:rsid w:val="39916AF0"/>
    <w:rsid w:val="39995B0D"/>
    <w:rsid w:val="3AED09BD"/>
    <w:rsid w:val="3B306EA8"/>
    <w:rsid w:val="3B625C0A"/>
    <w:rsid w:val="3CEE1963"/>
    <w:rsid w:val="40977C03"/>
    <w:rsid w:val="40EA0084"/>
    <w:rsid w:val="449A4B0F"/>
    <w:rsid w:val="46146386"/>
    <w:rsid w:val="480D1A37"/>
    <w:rsid w:val="48CA7B79"/>
    <w:rsid w:val="4956775D"/>
    <w:rsid w:val="4EF444A0"/>
    <w:rsid w:val="512260B4"/>
    <w:rsid w:val="52E4668A"/>
    <w:rsid w:val="549A67F5"/>
    <w:rsid w:val="59D44CEE"/>
    <w:rsid w:val="5A731BCE"/>
    <w:rsid w:val="5A7A2F5C"/>
    <w:rsid w:val="5BC03595"/>
    <w:rsid w:val="5E331DA0"/>
    <w:rsid w:val="5EE81843"/>
    <w:rsid w:val="606D2EC1"/>
    <w:rsid w:val="626726FE"/>
    <w:rsid w:val="632B5CBF"/>
    <w:rsid w:val="63696E29"/>
    <w:rsid w:val="64AB7435"/>
    <w:rsid w:val="65763686"/>
    <w:rsid w:val="65DB7981"/>
    <w:rsid w:val="660A68F6"/>
    <w:rsid w:val="666E039B"/>
    <w:rsid w:val="66AF0CE5"/>
    <w:rsid w:val="677478C8"/>
    <w:rsid w:val="68546F36"/>
    <w:rsid w:val="69290213"/>
    <w:rsid w:val="69B82081"/>
    <w:rsid w:val="6A8B7E5B"/>
    <w:rsid w:val="6B7B2FE6"/>
    <w:rsid w:val="6B834B70"/>
    <w:rsid w:val="6E5B14A6"/>
    <w:rsid w:val="6F116045"/>
    <w:rsid w:val="6F3574FF"/>
    <w:rsid w:val="6FA373AA"/>
    <w:rsid w:val="6FEE7FB2"/>
    <w:rsid w:val="70034463"/>
    <w:rsid w:val="711D2C22"/>
    <w:rsid w:val="712C543B"/>
    <w:rsid w:val="71334DC6"/>
    <w:rsid w:val="71F94C57"/>
    <w:rsid w:val="722867C1"/>
    <w:rsid w:val="72601FB5"/>
    <w:rsid w:val="731B6E65"/>
    <w:rsid w:val="73702CF6"/>
    <w:rsid w:val="74982ED9"/>
    <w:rsid w:val="75CE76D3"/>
    <w:rsid w:val="7781259C"/>
    <w:rsid w:val="796F7BC9"/>
    <w:rsid w:val="79907C4E"/>
    <w:rsid w:val="79E57808"/>
    <w:rsid w:val="7BB51E06"/>
    <w:rsid w:val="7C217284"/>
    <w:rsid w:val="7C387F7C"/>
    <w:rsid w:val="7D004222"/>
    <w:rsid w:val="7D8A0903"/>
    <w:rsid w:val="7FEC5EEF"/>
    <w:rsid w:val="7FEE64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ind w:left="0" w:firstLine="640"/>
      <w:outlineLvl w:val="1"/>
    </w:pPr>
    <w:rPr>
      <w:rFonts w:ascii="Arial" w:hAnsi="Arial" w:eastAsia="楷体"/>
      <w:b/>
    </w:rPr>
  </w:style>
  <w:style w:type="paragraph" w:styleId="3">
    <w:name w:val="heading 3"/>
    <w:basedOn w:val="1"/>
    <w:next w:val="1"/>
    <w:unhideWhenUsed/>
    <w:qFormat/>
    <w:uiPriority w:val="0"/>
    <w:pPr>
      <w:numPr>
        <w:ilvl w:val="2"/>
        <w:numId w:val="1"/>
      </w:numPr>
      <w:ind w:firstLine="640"/>
      <w:jc w:val="left"/>
      <w:outlineLvl w:val="2"/>
    </w:pPr>
    <w:rPr>
      <w:rFonts w:hint="eastAsia" w:ascii="宋体" w:hAnsi="宋体" w:cs="Times New Roman"/>
      <w:b/>
      <w:bCs/>
      <w:kern w:val="0"/>
      <w:szCs w:val="27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ind w:firstLine="640"/>
      <w:outlineLvl w:val="3"/>
    </w:pPr>
    <w:rPr>
      <w:b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 Indent"/>
    <w:basedOn w:val="1"/>
    <w:next w:val="7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7">
    <w:name w:val="Subtitle"/>
    <w:basedOn w:val="1"/>
    <w:next w:val="1"/>
    <w:qFormat/>
    <w:uiPriority w:val="0"/>
    <w:pPr>
      <w:spacing w:line="700" w:lineRule="exact"/>
      <w:jc w:val="center"/>
      <w:outlineLvl w:val="1"/>
    </w:pPr>
    <w:rPr>
      <w:rFonts w:ascii="Arial" w:hAnsi="Arial" w:eastAsia="方正小标宋简体" w:cs="Arial"/>
      <w:b/>
      <w:bCs/>
      <w:kern w:val="28"/>
      <w:sz w:val="44"/>
      <w:szCs w:val="44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6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表头"/>
    <w:basedOn w:val="1"/>
    <w:next w:val="16"/>
    <w:qFormat/>
    <w:uiPriority w:val="0"/>
    <w:pPr>
      <w:ind w:firstLine="0" w:firstLineChars="0"/>
      <w:jc w:val="center"/>
    </w:pPr>
    <w:rPr>
      <w:rFonts w:hint="eastAsia"/>
      <w:b/>
      <w:lang w:val="zh-TW"/>
    </w:rPr>
  </w:style>
  <w:style w:type="paragraph" w:customStyle="1" w:styleId="16">
    <w:name w:val="表格"/>
    <w:basedOn w:val="1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ascii="仿宋_GB2312" w:hAnsi="仿宋_GB2312"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5735</Words>
  <Characters>6196</Characters>
  <Lines>0</Lines>
  <Paragraphs>0</Paragraphs>
  <TotalTime>3</TotalTime>
  <ScaleCrop>false</ScaleCrop>
  <LinksUpToDate>false</LinksUpToDate>
  <CharactersWithSpaces>6217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2020-02-04T03:46:00Z</dcterms:created>
  <dc:creator>欣欣大人</dc:creator>
  <cp:lastModifiedBy>。。。</cp:lastModifiedBy>
  <cp:lastPrinted>2020-02-12T05:54:00Z</cp:lastPrinted>
  <dcterms:modified xsi:type="dcterms:W3CDTF">2025-03-18T02:20:35Z</dcterms:modified>
  <dc:title>附件3：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F03946471AC9480C9F4FEAC4C8FFB1A2_13</vt:lpwstr>
  </property>
  <property fmtid="{D5CDD505-2E9C-101B-9397-08002B2CF9AE}" pid="4" name="KSOTemplateDocerSaveRecord">
    <vt:lpwstr>eyJoZGlkIjoiYjg3YjZkMDZiMTdkMmI2NjRlZDc4NzhjNTZmMTc0YzgiLCJ1c2VySWQiOiI0MDA1Mzk4NDcifQ==</vt:lpwstr>
  </property>
</Properties>
</file>